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NOVEMBER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Tonight we will be having a presentation by Apple campus representatives!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We will also be welcoming the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brand new IMA E-Board for 2018!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- Nov 28th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Microcontroller Applications - December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New IMA E-Board for 2018: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President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- T.J. Hannon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Vice President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- Chris Calaci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Treasurer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- Dominika Lichomska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Secretary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- John Hauselt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Marketing Officer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- Radhika Kanaskar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Alumni Relations Officer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- Alberto Principe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Apple Campus Rep Presentation: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room: Vidhi Pandit, Apple Campus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Teaching Swift, a coding language developed by Apple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Swift is designed to be easy to understand and use for beginners and advanced users alike.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apple.com/swift/playgrounds for more information.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Users with an iPad can download the Swift Playgrounds app to practice coding in Swift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Swift is available for most Apple devices (Macs running macOS and iPad)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November 21, there will be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no IMA Meeting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.  Have a great Thanksgiving Break!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Our next IMA meeting will be on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November 28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.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